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92BF" w14:textId="6133CB92" w:rsidR="0088402D" w:rsidRPr="009677C7" w:rsidRDefault="00702BA9">
      <w:pPr>
        <w:spacing w:after="600"/>
        <w:jc w:val="center"/>
        <w:rPr>
          <w:sz w:val="22"/>
          <w:szCs w:val="22"/>
        </w:rPr>
      </w:pPr>
      <w:r w:rsidRPr="009677C7">
        <w:rPr>
          <w:rFonts w:eastAsia="Arial"/>
          <w:b/>
          <w:bCs/>
          <w:color w:val="1F4E79"/>
          <w:sz w:val="22"/>
          <w:szCs w:val="22"/>
        </w:rPr>
        <w:t>Ostale pomoći</w:t>
      </w:r>
      <w:r w:rsidR="00F73504" w:rsidRPr="009677C7">
        <w:rPr>
          <w:rFonts w:eastAsia="Arial"/>
          <w:b/>
          <w:bCs/>
          <w:color w:val="1F4E79"/>
          <w:sz w:val="22"/>
          <w:szCs w:val="22"/>
        </w:rPr>
        <w:t xml:space="preserve"> – 2024. godina</w:t>
      </w:r>
    </w:p>
    <w:p w14:paraId="6F5B5A2A" w14:textId="77777777" w:rsidR="0088402D" w:rsidRPr="009677C7" w:rsidRDefault="00F73504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9677C7">
        <w:rPr>
          <w:rFonts w:eastAsia="Arial"/>
          <w:b/>
          <w:bCs/>
          <w:color w:val="2E75B6"/>
          <w:sz w:val="22"/>
          <w:szCs w:val="22"/>
        </w:rPr>
        <w:t>PS Zadarska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843"/>
        <w:gridCol w:w="2427"/>
      </w:tblGrid>
      <w:tr w:rsidR="004D6D55" w:rsidRPr="009677C7" w14:paraId="605A5301" w14:textId="77777777" w:rsidTr="00C448AB">
        <w:trPr>
          <w:trHeight w:val="564"/>
          <w:tblHeader/>
        </w:trPr>
        <w:tc>
          <w:tcPr>
            <w:tcW w:w="283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EE09D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0C81C" w14:textId="77777777" w:rsidR="004D6D55" w:rsidRPr="009677C7" w:rsidRDefault="004D6D55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501BBB7B" w14:textId="242F2D7D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2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07161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4D6D55" w:rsidRPr="009677C7" w14:paraId="2EA8FE45" w14:textId="77777777" w:rsidTr="00C448AB">
        <w:trPr>
          <w:trHeight w:val="548"/>
        </w:trPr>
        <w:tc>
          <w:tcPr>
            <w:tcW w:w="283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F331F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PS Zadarska</w:t>
            </w:r>
          </w:p>
        </w:tc>
        <w:tc>
          <w:tcPr>
            <w:tcW w:w="3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8D300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Zadarska županija</w:t>
            </w:r>
          </w:p>
        </w:tc>
        <w:tc>
          <w:tcPr>
            <w:tcW w:w="242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EFFD3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1.800,00 EUR</w:t>
            </w:r>
          </w:p>
        </w:tc>
      </w:tr>
      <w:tr w:rsidR="004D6D55" w:rsidRPr="009677C7" w14:paraId="4268A198" w14:textId="77777777" w:rsidTr="00C448AB">
        <w:trPr>
          <w:trHeight w:val="564"/>
        </w:trPr>
        <w:tc>
          <w:tcPr>
            <w:tcW w:w="283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F74E3" w14:textId="77777777" w:rsidR="004D6D55" w:rsidRPr="009677C7" w:rsidRDefault="004D6D55">
            <w:pPr>
              <w:rPr>
                <w:sz w:val="22"/>
                <w:szCs w:val="22"/>
              </w:rPr>
            </w:pPr>
          </w:p>
        </w:tc>
        <w:tc>
          <w:tcPr>
            <w:tcW w:w="3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3EE73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Zadarska županija</w:t>
            </w:r>
          </w:p>
        </w:tc>
        <w:tc>
          <w:tcPr>
            <w:tcW w:w="242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93165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1.900,00 EUR</w:t>
            </w:r>
          </w:p>
        </w:tc>
      </w:tr>
    </w:tbl>
    <w:p w14:paraId="430C1D02" w14:textId="77777777" w:rsidR="0088402D" w:rsidRPr="009677C7" w:rsidRDefault="0088402D">
      <w:pPr>
        <w:spacing w:before="200"/>
        <w:rPr>
          <w:sz w:val="22"/>
          <w:szCs w:val="22"/>
        </w:rPr>
      </w:pPr>
    </w:p>
    <w:p w14:paraId="42C1B8EF" w14:textId="77777777" w:rsidR="0088402D" w:rsidRPr="009677C7" w:rsidRDefault="00F73504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9677C7">
        <w:rPr>
          <w:rFonts w:eastAsia="Arial"/>
          <w:b/>
          <w:bCs/>
          <w:color w:val="2E75B6"/>
          <w:sz w:val="22"/>
          <w:szCs w:val="22"/>
        </w:rPr>
        <w:t>PS Istarska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9"/>
        <w:gridCol w:w="3270"/>
        <w:gridCol w:w="3428"/>
      </w:tblGrid>
      <w:tr w:rsidR="004D6D55" w:rsidRPr="009677C7" w14:paraId="6AD9D0B6" w14:textId="77777777" w:rsidTr="00C448AB">
        <w:trPr>
          <w:trHeight w:val="613"/>
          <w:tblHeader/>
        </w:trPr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06F2F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27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DE677" w14:textId="77777777" w:rsidR="004D6D55" w:rsidRPr="009677C7" w:rsidRDefault="004D6D55" w:rsidP="00D276FE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6916270D" w14:textId="362F08B5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34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6A58C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4D6D55" w:rsidRPr="009677C7" w14:paraId="1942F4CE" w14:textId="77777777" w:rsidTr="00C448AB">
        <w:trPr>
          <w:trHeight w:val="298"/>
        </w:trPr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8C2B0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PS Istarska</w:t>
            </w:r>
          </w:p>
        </w:tc>
        <w:tc>
          <w:tcPr>
            <w:tcW w:w="327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1BB6B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Grad Pula-Pola</w:t>
            </w:r>
          </w:p>
        </w:tc>
        <w:tc>
          <w:tcPr>
            <w:tcW w:w="34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62B2C" w14:textId="77777777" w:rsidR="004D6D55" w:rsidRPr="009677C7" w:rsidRDefault="004D6D55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2.920,00 EUR</w:t>
            </w:r>
          </w:p>
        </w:tc>
      </w:tr>
    </w:tbl>
    <w:p w14:paraId="2A3B0A7A" w14:textId="77777777" w:rsidR="0088402D" w:rsidRPr="009677C7" w:rsidRDefault="0088402D">
      <w:pPr>
        <w:spacing w:before="200"/>
        <w:rPr>
          <w:sz w:val="22"/>
          <w:szCs w:val="22"/>
        </w:rPr>
      </w:pPr>
    </w:p>
    <w:p w14:paraId="360DA8BD" w14:textId="77777777" w:rsidR="0088402D" w:rsidRPr="009677C7" w:rsidRDefault="00F73504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9677C7">
        <w:rPr>
          <w:rFonts w:eastAsia="Arial"/>
          <w:b/>
          <w:bCs/>
          <w:color w:val="2E75B6"/>
          <w:sz w:val="22"/>
          <w:szCs w:val="22"/>
        </w:rPr>
        <w:t>PS Splitsko-dalmatinska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3945"/>
        <w:gridCol w:w="2491"/>
      </w:tblGrid>
      <w:tr w:rsidR="004D6D55" w:rsidRPr="009677C7" w14:paraId="1CBB9B81" w14:textId="77777777" w:rsidTr="00C448AB">
        <w:trPr>
          <w:trHeight w:val="611"/>
          <w:tblHeader/>
        </w:trPr>
        <w:tc>
          <w:tcPr>
            <w:tcW w:w="2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F19E6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9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F9232" w14:textId="77777777" w:rsidR="004D6D55" w:rsidRPr="009677C7" w:rsidRDefault="004D6D55" w:rsidP="00D276FE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6F617214" w14:textId="05D84A55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8C2F2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4D6D55" w:rsidRPr="009677C7" w14:paraId="6F510598" w14:textId="77777777" w:rsidTr="00C448AB">
        <w:trPr>
          <w:trHeight w:val="1187"/>
        </w:trPr>
        <w:tc>
          <w:tcPr>
            <w:tcW w:w="2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95251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PS Splitsko-dalmatinska</w:t>
            </w:r>
          </w:p>
        </w:tc>
        <w:tc>
          <w:tcPr>
            <w:tcW w:w="39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7DEF1" w14:textId="77777777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Grad Split / Splitsko-dalmatinska županija</w:t>
            </w:r>
          </w:p>
        </w:tc>
        <w:tc>
          <w:tcPr>
            <w:tcW w:w="2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5FFBF" w14:textId="37957A92" w:rsidR="004D6D55" w:rsidRPr="009677C7" w:rsidRDefault="004D6D55" w:rsidP="00D276FE">
            <w:pPr>
              <w:rPr>
                <w:sz w:val="22"/>
                <w:szCs w:val="22"/>
              </w:rPr>
            </w:pPr>
            <w:r w:rsidRPr="009677C7">
              <w:rPr>
                <w:rFonts w:eastAsia="Arial"/>
                <w:sz w:val="22"/>
                <w:szCs w:val="22"/>
              </w:rPr>
              <w:t>6.555,12</w:t>
            </w:r>
          </w:p>
        </w:tc>
      </w:tr>
    </w:tbl>
    <w:p w14:paraId="125095CD" w14:textId="77777777" w:rsidR="0088402D" w:rsidRPr="009677C7" w:rsidRDefault="0088402D">
      <w:pPr>
        <w:spacing w:before="200"/>
        <w:rPr>
          <w:sz w:val="22"/>
          <w:szCs w:val="22"/>
        </w:rPr>
      </w:pPr>
    </w:p>
    <w:sectPr w:rsidR="0088402D" w:rsidRPr="009677C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157"/>
    <w:multiLevelType w:val="hybridMultilevel"/>
    <w:tmpl w:val="29E6A440"/>
    <w:lvl w:ilvl="0" w:tplc="DC3EC55E">
      <w:start w:val="1"/>
      <w:numFmt w:val="bullet"/>
      <w:lvlText w:val="●"/>
      <w:lvlJc w:val="left"/>
      <w:pPr>
        <w:ind w:left="720" w:hanging="360"/>
      </w:pPr>
    </w:lvl>
    <w:lvl w:ilvl="1" w:tplc="56DA82C8">
      <w:start w:val="1"/>
      <w:numFmt w:val="bullet"/>
      <w:lvlText w:val="○"/>
      <w:lvlJc w:val="left"/>
      <w:pPr>
        <w:ind w:left="1440" w:hanging="360"/>
      </w:pPr>
    </w:lvl>
    <w:lvl w:ilvl="2" w:tplc="A2E26966">
      <w:start w:val="1"/>
      <w:numFmt w:val="bullet"/>
      <w:lvlText w:val="■"/>
      <w:lvlJc w:val="left"/>
      <w:pPr>
        <w:ind w:left="2160" w:hanging="360"/>
      </w:pPr>
    </w:lvl>
    <w:lvl w:ilvl="3" w:tplc="D8CEE00A">
      <w:start w:val="1"/>
      <w:numFmt w:val="bullet"/>
      <w:lvlText w:val="●"/>
      <w:lvlJc w:val="left"/>
      <w:pPr>
        <w:ind w:left="2880" w:hanging="360"/>
      </w:pPr>
    </w:lvl>
    <w:lvl w:ilvl="4" w:tplc="76784192">
      <w:start w:val="1"/>
      <w:numFmt w:val="bullet"/>
      <w:lvlText w:val="○"/>
      <w:lvlJc w:val="left"/>
      <w:pPr>
        <w:ind w:left="3600" w:hanging="360"/>
      </w:pPr>
    </w:lvl>
    <w:lvl w:ilvl="5" w:tplc="EB26C346">
      <w:start w:val="1"/>
      <w:numFmt w:val="bullet"/>
      <w:lvlText w:val="■"/>
      <w:lvlJc w:val="left"/>
      <w:pPr>
        <w:ind w:left="4320" w:hanging="360"/>
      </w:pPr>
    </w:lvl>
    <w:lvl w:ilvl="6" w:tplc="0D7EE7B4">
      <w:start w:val="1"/>
      <w:numFmt w:val="bullet"/>
      <w:lvlText w:val="●"/>
      <w:lvlJc w:val="left"/>
      <w:pPr>
        <w:ind w:left="5040" w:hanging="360"/>
      </w:pPr>
    </w:lvl>
    <w:lvl w:ilvl="7" w:tplc="8CC8359A">
      <w:start w:val="1"/>
      <w:numFmt w:val="bullet"/>
      <w:lvlText w:val="●"/>
      <w:lvlJc w:val="left"/>
      <w:pPr>
        <w:ind w:left="5760" w:hanging="360"/>
      </w:pPr>
    </w:lvl>
    <w:lvl w:ilvl="8" w:tplc="DCA8959A">
      <w:start w:val="1"/>
      <w:numFmt w:val="bullet"/>
      <w:lvlText w:val="●"/>
      <w:lvlJc w:val="left"/>
      <w:pPr>
        <w:ind w:left="6480" w:hanging="360"/>
      </w:pPr>
    </w:lvl>
  </w:abstractNum>
  <w:num w:numId="1" w16cid:durableId="10671502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D"/>
    <w:rsid w:val="000148D6"/>
    <w:rsid w:val="00247F56"/>
    <w:rsid w:val="002A057E"/>
    <w:rsid w:val="0049268E"/>
    <w:rsid w:val="004B5DE4"/>
    <w:rsid w:val="004D6D55"/>
    <w:rsid w:val="00612243"/>
    <w:rsid w:val="00674241"/>
    <w:rsid w:val="00702BA9"/>
    <w:rsid w:val="00846315"/>
    <w:rsid w:val="0088402D"/>
    <w:rsid w:val="009677C7"/>
    <w:rsid w:val="009B6638"/>
    <w:rsid w:val="00BF04BD"/>
    <w:rsid w:val="00C448AB"/>
    <w:rsid w:val="00C57A55"/>
    <w:rsid w:val="00D276FE"/>
    <w:rsid w:val="00DA16DE"/>
    <w:rsid w:val="00F7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107"/>
  <w15:docId w15:val="{30DFB33E-FD20-4562-A884-458C3F25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Dajana Toumeh Ravlija</cp:lastModifiedBy>
  <cp:revision>9</cp:revision>
  <cp:lastPrinted>2026-03-16T12:38:00Z</cp:lastPrinted>
  <dcterms:created xsi:type="dcterms:W3CDTF">2026-03-10T09:57:00Z</dcterms:created>
  <dcterms:modified xsi:type="dcterms:W3CDTF">2026-03-16T13:03:00Z</dcterms:modified>
</cp:coreProperties>
</file>